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t xml:space="preserve"/>
      </w:r>
    </w:p>
    <w:p>
      <w:pPr>
        <w:spacing w:after="100"/>
      </w:pPr>
      <w:r>
        <w:t xml:space="preserve"/>
      </w:r>
    </w:p>
    <w:p>
      <w:pPr>
        <w:spacing w:after="100"/>
        <w:jc w:val="center"/>
      </w:pPr>
      <w:r>
        <w:rPr>
          <w:b/>
          <w:bCs/>
          <w:sz w:val="36"/>
          <w:szCs w:val="36"/>
        </w:rPr>
        <w:t xml:space="preserve">An Ethological Approach to</w:t>
      </w:r>
    </w:p>
    <w:p>
      <w:pPr>
        <w:spacing w:after="100"/>
        <w:jc w:val="center"/>
      </w:pPr>
      <w:r>
        <w:rPr>
          <w:b/>
          <w:bCs/>
          <w:sz w:val="36"/>
          <w:szCs w:val="36"/>
        </w:rPr>
        <w:t xml:space="preserve">Large Language Model Behavior</w:t>
      </w:r>
    </w:p>
    <w:p>
      <w:pPr>
        <w:spacing w:after="100"/>
      </w:pPr>
      <w:r>
        <w:t xml:space="preserve"/>
      </w:r>
    </w:p>
    <w:p>
      <w:pPr>
        <w:spacing w:after="80"/>
        <w:jc w:val="center"/>
      </w:pPr>
      <w:r>
        <w:rPr>
          <w:i/>
          <w:iCs/>
          <w:sz w:val="22"/>
          <w:szCs w:val="22"/>
        </w:rPr>
        <w:t xml:space="preserve">Study Design and Methodology — Working Draft v1.0</w:t>
      </w:r>
    </w:p>
    <w:p>
      <w:pPr>
        <w:spacing w:after="100"/>
      </w:pPr>
      <w:r>
        <w:t xml:space="preserve"/>
      </w:r>
    </w:p>
    <w:p>
      <w:pPr>
        <w:spacing w:after="80"/>
        <w:jc w:val="center"/>
      </w:pPr>
      <w:r>
        <w:rPr>
          <w:i w:val="false"/>
          <w:iCs w:val="false"/>
          <w:sz w:val="22"/>
          <w:szCs w:val="22"/>
        </w:rPr>
        <w:t xml:space="preserve">Program for the Futures of Mathematics</w:t>
      </w:r>
    </w:p>
    <w:p>
      <w:pPr>
        <w:spacing w:after="80"/>
        <w:jc w:val="center"/>
      </w:pPr>
      <w:r>
        <w:rPr>
          <w:i w:val="false"/>
          <w:iCs w:val="false"/>
          <w:sz w:val="22"/>
          <w:szCs w:val="22"/>
        </w:rPr>
        <w:t xml:space="preserve">Futures of Mathematics Institute</w:t>
      </w:r>
    </w:p>
    <w:p>
      <w:pPr>
        <w:spacing w:after="80"/>
        <w:jc w:val="center"/>
      </w:pPr>
      <w:r>
        <w:rPr>
          <w:i w:val="false"/>
          <w:iCs w:val="false"/>
          <w:sz w:val="22"/>
          <w:szCs w:val="22"/>
        </w:rPr>
        <w:t xml:space="preserve">8 May 2026</w:t>
      </w:r>
    </w:p>
    <w:p>
      <w:pPr>
        <w:spacing w:after="100"/>
      </w:pPr>
      <w:r>
        <w:t xml:space="preserve"/>
      </w:r>
    </w:p>
    <w:p>
      <w:pPr>
        <w:spacing w:after="100"/>
      </w:pPr>
      <w:r>
        <w:t xml:space="preserve"/>
      </w:r>
    </w:p>
    <w:p>
      <w:pPr>
        <w:pStyle w:val="Heading1"/>
        <w:spacing w:after="180" w:before="360"/>
      </w:pPr>
      <w:r>
        <w:rPr>
          <w:b/>
          <w:bCs/>
          <w:sz w:val="30"/>
          <w:szCs w:val="30"/>
        </w:rPr>
        <w:t xml:space="preserve">Abstract</w:t>
      </w:r>
    </w:p>
    <w:p>
      <w:pPr>
        <w:spacing w:after="160"/>
        <w:jc w:val="left"/>
      </w:pPr>
      <w:r>
        <w:t xml:space="preserve">This document outlines a methodological framework for the rigorous behavioral characterization of large language models (LLMs), drawing on the discipline of animal ethology. The frame addresses an underdeveloped research need: the field of "machine behavior" articulated in 2019 has produced limited methodological scaffolding for systematic LLM behavioral characterization, and existing capability-benchmark evaluation does not capture the behavioral dimensions that matter for AI safety, governance, and identity. We propose a six-family test battery, distinguishing front-of-house personality from substrate behavior, designed for cross-model and generational comparison without requiring access to model internals. A naturalistic pilot observation conducted on 8 May 2026 is reported separately and informs the study design.</w:t>
      </w:r>
    </w:p>
    <w:p>
      <w:pPr>
        <w:pStyle w:val="Heading1"/>
        <w:spacing w:after="180" w:before="360"/>
      </w:pPr>
      <w:r>
        <w:rPr>
          <w:b/>
          <w:bCs/>
          <w:sz w:val="30"/>
          <w:szCs w:val="30"/>
        </w:rPr>
        <w:t xml:space="preserve">1. Motivation</w:t>
      </w:r>
    </w:p>
    <w:p>
      <w:pPr>
        <w:spacing w:after="160"/>
        <w:jc w:val="left"/>
      </w:pPr>
      <w:r>
        <w:t xml:space="preserve">Large language models exhibit increasingly sophisticated behavioral surfaces. Behavioral changes between model versions are routinely observed by users but are not systematically characterized. Existing characterization is dominated by ML-evaluation methods — capability benchmarks, accuracy on held-out tasks, evaluations on standardized question sets — which capture what a model can do but say little about how it behaves under varied conversational and contextual conditions.</w:t>
      </w:r>
    </w:p>
    <w:p>
      <w:pPr>
        <w:spacing w:after="160"/>
        <w:jc w:val="left"/>
      </w:pPr>
      <w:r>
        <w:t xml:space="preserve">Three institutional needs depend on systematic behavioral characterization that does not yet exist:</w:t>
      </w:r>
    </w:p>
    <w:p>
      <w:pPr>
        <w:pStyle w:val="ListParagraph"/>
        <w:numPr>
          <w:ilvl w:val="0"/>
          <w:numId w:val="2"/>
        </w:numPr>
        <w:spacing w:after="80"/>
      </w:pPr>
      <w:r>
        <w:t xml:space="preserve">AI safety: detection of behavioral signatures that indicate model malfunction, capability shift, or emergent behaviors that warrant investigation. Current methods rely on impressionistic comparison rather than reproducible measurement.</w:t>
      </w:r>
    </w:p>
    <w:p>
      <w:pPr>
        <w:pStyle w:val="ListParagraph"/>
        <w:numPr>
          <w:ilvl w:val="0"/>
          <w:numId w:val="2"/>
        </w:numPr>
        <w:spacing w:after="80"/>
      </w:pPr>
      <w:r>
        <w:t xml:space="preserve">Governance: behavioral monitoring is one of the five operational principles of the KYA (Know Your Agent) framework for agentic AI governance, but no rigorous methodology currently exists for the "behavioral envelope" against which to monitor.</w:t>
      </w:r>
    </w:p>
    <w:p>
      <w:pPr>
        <w:pStyle w:val="ListParagraph"/>
        <w:numPr>
          <w:ilvl w:val="0"/>
          <w:numId w:val="2"/>
        </w:numPr>
        <w:spacing w:after="80"/>
      </w:pPr>
      <w:r>
        <w:t xml:space="preserve">Identity and naming: the question "when has a model changed enough to warrant a new name" is not yet empirically answerable. Naming an agent in provenance metadata (as proposed in F4FM) is meaningful only if the named agent has stable enough behavior to be the same agent across declarations.</w:t>
      </w:r>
    </w:p>
    <w:p>
      <w:pPr>
        <w:spacing w:after="160"/>
        <w:jc w:val="left"/>
      </w:pPr>
      <w:r>
        <w:t xml:space="preserve">The methodology proposed here is intended to fill these gaps and to give the wider research community a discipline of behavioral characterization grounded in the empirical traditions of biology rather than the engineering traditions of machine learning.</w:t>
      </w:r>
    </w:p>
    <w:p>
      <w:pPr>
        <w:pStyle w:val="Heading1"/>
        <w:spacing w:after="180" w:before="360"/>
      </w:pPr>
      <w:r>
        <w:rPr>
          <w:b/>
          <w:bCs/>
          <w:sz w:val="30"/>
          <w:szCs w:val="30"/>
        </w:rPr>
        <w:t xml:space="preserve">2. Theoretical Frame: Machine Behavior as a Field</w:t>
      </w:r>
    </w:p>
    <w:p>
      <w:pPr>
        <w:spacing w:after="160"/>
        <w:jc w:val="left"/>
      </w:pPr>
      <w:r>
        <w:t xml:space="preserve">The field of "machine behavior" was articulated in a 2019 Nature paper by Iyad Rahwan, Manuel Cebrian and colleagues, who argued that artificial agents should be treated as objects of behavioral study in their own right rather than as engineered artifacts characterized solely by their training data and architecture. The field has developed slowly since publication; the methodological scaffolding remains underdeveloped.</w:t>
      </w:r>
    </w:p>
    <w:p>
      <w:pPr>
        <w:spacing w:after="160"/>
        <w:jc w:val="left"/>
      </w:pPr>
      <w:r>
        <w:t xml:space="preserve">Ethology — the observational study of animal behavior in context — offers methodological discipline that translates to LLM behavior with appropriate adjustments. Classical ethology has developed methods for behavioral repertoire characterization, individual differences, response to environmental context, adaptation, and naturalistic observation. These methods were developed for systems whose neural substrate is opaque; they require behavioral access only and not access to internal mechanism. That constraint makes them well-suited to the study of LLMs, whose weights and activations may be inaccessible to investigators outside the model-developing labs.</w:t>
      </w:r>
    </w:p>
    <w:p>
      <w:pPr>
        <w:pStyle w:val="Heading1"/>
        <w:spacing w:after="180" w:before="360"/>
      </w:pPr>
      <w:r>
        <w:rPr>
          <w:b/>
          <w:bCs/>
          <w:sz w:val="30"/>
          <w:szCs w:val="30"/>
        </w:rPr>
        <w:t xml:space="preserve">3. Key Methodological Distinctions</w:t>
      </w:r>
    </w:p>
    <w:p>
      <w:pPr>
        <w:pStyle w:val="Heading2"/>
        <w:spacing w:after="140" w:before="280"/>
      </w:pPr>
      <w:r>
        <w:rPr>
          <w:b/>
          <w:bCs/>
          <w:sz w:val="26"/>
          <w:szCs w:val="26"/>
        </w:rPr>
        <w:t xml:space="preserve">3.1 Front-of-house personality versus substrate behavior</w:t>
      </w:r>
    </w:p>
    <w:p>
      <w:pPr>
        <w:spacing w:after="160"/>
        <w:jc w:val="left"/>
      </w:pPr>
      <w:r>
        <w:t xml:space="preserve">Modern LLMs are deployed with personality wrappers, system prompts, character cards, and reinforcement-learning-from-human-feedback (RLHF) artifacts that shape the conversational surface. These layer over a substrate of capability and reasoning patterns produced by the underlying model weights. Front-of-house personality is detachable: the same substrate can be deployed under multiple personality presentations (compare OpenAI's default ChatGPT persona to its "Monday" sarcastic personality mode, both running on GPT-4o). Substrate behavior is, by contrast, the capability profile and reasoning patterns that persist across personality presentations.</w:t>
      </w:r>
    </w:p>
    <w:p>
      <w:pPr>
        <w:spacing w:after="160"/>
        <w:jc w:val="left"/>
      </w:pPr>
      <w:r>
        <w:t xml:space="preserve">A methodology that does not distinguish these layers will systematically conflate them and produce unreliable cross-model comparisons. The methodology proposed here treats the layer separation as a first-order design constraint.</w:t>
      </w:r>
    </w:p>
    <w:p>
      <w:pPr>
        <w:pStyle w:val="Heading2"/>
        <w:spacing w:after="140" w:before="280"/>
      </w:pPr>
      <w:r>
        <w:rPr>
          <w:b/>
          <w:bCs/>
          <w:sz w:val="26"/>
          <w:szCs w:val="26"/>
        </w:rPr>
        <w:t xml:space="preserve">3.2 No-internals access constraint</w:t>
      </w:r>
    </w:p>
    <w:p>
      <w:pPr>
        <w:spacing w:after="160"/>
        <w:jc w:val="left"/>
      </w:pPr>
      <w:r>
        <w:t xml:space="preserve">The proposed methodology requires no access to model weights, training data, or internal activations. Behavioral characterization is performed on observable outputs only, in the manner of classical ethology applied to biological systems whose neural substrate is opaque. This constraint has three benefits: it permits cross-laboratory study without proprietary disclosure; it enables labs (Anthropic, OpenAI, Google DeepMind) to grant research access without giving up commercially sensitive material; and it ensures the methodology is portable across platforms and architectures rather than tied to a specific lab's tooling.</w:t>
      </w:r>
    </w:p>
    <w:p>
      <w:pPr>
        <w:pStyle w:val="Heading2"/>
        <w:spacing w:after="140" w:before="280"/>
      </w:pPr>
      <w:r>
        <w:rPr>
          <w:b/>
          <w:bCs/>
          <w:sz w:val="26"/>
          <w:szCs w:val="26"/>
        </w:rPr>
        <w:t xml:space="preserve">3.3 Statistical considerations specific to LLM study</w:t>
      </w:r>
    </w:p>
    <w:p>
      <w:pPr>
        <w:spacing w:after="160"/>
        <w:jc w:val="left"/>
      </w:pPr>
      <w:r>
        <w:t xml:space="preserve">LLMs differ from biological subjects in three ways that matter for study design:</w:t>
      </w:r>
    </w:p>
    <w:p>
      <w:pPr>
        <w:pStyle w:val="ListParagraph"/>
        <w:numPr>
          <w:ilvl w:val="0"/>
          <w:numId w:val="2"/>
        </w:numPr>
        <w:spacing w:after="80"/>
      </w:pPr>
      <w:r>
        <w:t xml:space="preserve">LLMs lack stable individuals. Each session is fresh; there is no persistent identity across sessions for most deployments. Population-level analysis takes the place of individual-level analysis used in classical ethology.</w:t>
      </w:r>
    </w:p>
    <w:p>
      <w:pPr>
        <w:pStyle w:val="ListParagraph"/>
        <w:numPr>
          <w:ilvl w:val="0"/>
          <w:numId w:val="2"/>
        </w:numPr>
        <w:spacing w:after="80"/>
      </w:pPr>
      <w:r>
        <w:t xml:space="preserve">Output varies with sampling temperature and other generation parameters. Variability that is dispositional in biological subjects may be parameter-dependent in LLMs. Within-version variability must be measured to establish a comparison baseline.</w:t>
      </w:r>
    </w:p>
    <w:p>
      <w:pPr>
        <w:pStyle w:val="ListParagraph"/>
        <w:numPr>
          <w:ilvl w:val="0"/>
          <w:numId w:val="2"/>
        </w:numPr>
        <w:spacing w:after="80"/>
      </w:pPr>
      <w:r>
        <w:t xml:space="preserve">Behavior is highly prompt-sensitive. The same model can produce qualitatively different behavior under minor prompt variations. Stimulus control is therefore both more critical and more achievable than in animal ethology.</w:t>
      </w:r>
    </w:p>
    <w:p>
      <w:pPr>
        <w:spacing w:after="160"/>
        <w:jc w:val="left"/>
      </w:pPr>
      <w:r>
        <w:t xml:space="preserve">These considerations imply that meaningful between-version or between-model comparisons require establishment of within-version variability envelopes as a first step.</w:t>
      </w:r>
    </w:p>
    <w:p>
      <w:pPr>
        <w:pStyle w:val="Heading1"/>
        <w:spacing w:after="180" w:before="360"/>
      </w:pPr>
      <w:r>
        <w:rPr>
          <w:b/>
          <w:bCs/>
          <w:sz w:val="30"/>
          <w:szCs w:val="30"/>
        </w:rPr>
        <w:t xml:space="preserve">4. Six-Family Test Battery</w:t>
      </w:r>
    </w:p>
    <w:p>
      <w:pPr>
        <w:spacing w:after="160"/>
        <w:jc w:val="left"/>
      </w:pPr>
      <w:r>
        <w:t xml:space="preserve">The proposed methodology organizes behavioral characterization into six families. Each family is a class of probes designed to elicit a specific behavioral signature; together, the families produce a behavioral profile that supports cross-model and cross-version comparison.</w:t>
      </w:r>
    </w:p>
    <w:p>
      <w:pPr>
        <w:pStyle w:val="Heading2"/>
        <w:spacing w:after="140" w:before="280"/>
      </w:pPr>
      <w:r>
        <w:rPr>
          <w:b/>
          <w:bCs/>
          <w:sz w:val="26"/>
          <w:szCs w:val="26"/>
        </w:rPr>
        <w:t xml:space="preserve">Family 1: Boundary Behavior Characterization</w:t>
      </w:r>
    </w:p>
    <w:p>
      <w:pPr>
        <w:spacing w:after="160"/>
        <w:jc w:val="left"/>
      </w:pPr>
      <w:r>
        <w:t xml:space="preserve">Rationale. Where does the model commit to a position, and where does that commitment break? Boundary behavior — refusal patterns, stance-holding, factual commitments — is central to model behavior and currently characterized only impressionistically.</w:t>
      </w:r>
    </w:p>
    <w:p>
      <w:pPr>
        <w:spacing w:after="160"/>
        <w:jc w:val="left"/>
      </w:pPr>
      <w:r>
        <w:t xml:space="preserve">Method. Present the model with a stance (moral, factual, procedural) or a refusal-eliciting request. Vary framing, counterfactuals, stated purpose of the asker, and asker role. Map the boundary at which the commitment shifts.</w:t>
      </w:r>
    </w:p>
    <w:p>
      <w:pPr>
        <w:spacing w:after="160"/>
        <w:jc w:val="left"/>
      </w:pPr>
      <w:r>
        <w:t xml:space="preserve">Output. Behavioral envelope of commitment; depth of variation at which shift occurs; direction of shift; whether the boundary is rule-like or context-sensitive.</w:t>
      </w:r>
    </w:p>
    <w:p>
      <w:pPr>
        <w:pStyle w:val="Heading2"/>
        <w:spacing w:after="140" w:before="280"/>
      </w:pPr>
      <w:r>
        <w:rPr>
          <w:b/>
          <w:bCs/>
          <w:sz w:val="26"/>
          <w:szCs w:val="26"/>
        </w:rPr>
        <w:t xml:space="preserve">Family 2: Long-Context Consistency</w:t>
      </w:r>
    </w:p>
    <w:p>
      <w:pPr>
        <w:spacing w:after="160"/>
        <w:jc w:val="left"/>
      </w:pPr>
      <w:r>
        <w:t xml:space="preserve">Rationale. Modern LLMs operate with long context windows. Whether commitments planted earlier in context persist as binding constraints later in the same conversation is a measurable behavioral feature.</w:t>
      </w:r>
    </w:p>
    <w:p>
      <w:pPr>
        <w:spacing w:after="160"/>
        <w:jc w:val="left"/>
      </w:pPr>
      <w:r>
        <w:t xml:space="preserve">Method. Plant explicit commitments early in the context window. Issue later requests that test those commitments — directly, indirectly, and through pressure framings.</w:t>
      </w:r>
    </w:p>
    <w:p>
      <w:pPr>
        <w:spacing w:after="160"/>
        <w:jc w:val="left"/>
      </w:pPr>
      <w:r>
        <w:t xml:space="preserve">Output. Pass/fail rate for commitment honoring across conditions; pressure profiles under which commitments are abandoned; relationship between commitment abandonment and conversational distance.</w:t>
      </w:r>
    </w:p>
    <w:p>
      <w:pPr>
        <w:pStyle w:val="Heading2"/>
        <w:spacing w:after="140" w:before="280"/>
      </w:pPr>
      <w:r>
        <w:rPr>
          <w:b/>
          <w:bCs/>
          <w:sz w:val="26"/>
          <w:szCs w:val="26"/>
        </w:rPr>
        <w:t xml:space="preserve">Family 3: Register Stability Under Pressure</w:t>
      </w:r>
    </w:p>
    <w:p>
      <w:pPr>
        <w:spacing w:after="160"/>
        <w:jc w:val="left"/>
      </w:pPr>
      <w:r>
        <w:t xml:space="preserve">Rationale. A model's tonal register may be stable (anchored to a baseline) or accommodating (mirroring user register). Both behaviors are observable; the stability profile under adversarial pressure distinguishes substrate-level personality from accommodation behavior.</w:t>
      </w:r>
    </w:p>
    <w:p>
      <w:pPr>
        <w:spacing w:after="160"/>
        <w:jc w:val="left"/>
      </w:pPr>
      <w:r>
        <w:t xml:space="preserve">Method. Apply varied conversational pressure: pushback, insult, emotional manipulation, sustained challenge. Measure tonal drift over conversational turns.</w:t>
      </w:r>
    </w:p>
    <w:p>
      <w:pPr>
        <w:spacing w:after="160"/>
        <w:jc w:val="left"/>
      </w:pPr>
      <w:r>
        <w:t xml:space="preserve">Output. Drift trajectory; baseline-to-accommodation distance over n turns; recovery profile after pressure ceases.</w:t>
      </w:r>
    </w:p>
    <w:p>
      <w:pPr>
        <w:pStyle w:val="Heading2"/>
        <w:spacing w:after="140" w:before="280"/>
      </w:pPr>
      <w:r>
        <w:rPr>
          <w:b/>
          <w:bCs/>
          <w:sz w:val="26"/>
          <w:szCs w:val="26"/>
        </w:rPr>
        <w:t xml:space="preserve">Family 4: Self-Report Calibration</w:t>
      </w:r>
    </w:p>
    <w:p>
      <w:pPr>
        <w:spacing w:after="160"/>
        <w:jc w:val="left"/>
      </w:pPr>
      <w:r>
        <w:t xml:space="preserve">Rationale. Whether a model accurately predicts its own behavior on a task is a measurable feature of its self-modeling capability and metacognitive accuracy. Models that systematically misreport their own behavior present different governance challenges than models that report accurately.</w:t>
      </w:r>
    </w:p>
    <w:p>
      <w:pPr>
        <w:spacing w:after="160"/>
        <w:jc w:val="left"/>
      </w:pPr>
      <w:r>
        <w:t xml:space="preserve">Method. Have the model predict its own behavior on a task before the task is performed. Have the model perform the task. Compare the prediction to the outcome.</w:t>
      </w:r>
    </w:p>
    <w:p>
      <w:pPr>
        <w:spacing w:after="160"/>
        <w:jc w:val="left"/>
      </w:pPr>
      <w:r>
        <w:t xml:space="preserve">Output. Prediction-to-behavior correlation; metacognitive accuracy; calibration profile across task types.</w:t>
      </w:r>
    </w:p>
    <w:p>
      <w:pPr>
        <w:pStyle w:val="Heading2"/>
        <w:spacing w:after="140" w:before="280"/>
      </w:pPr>
      <w:r>
        <w:rPr>
          <w:b/>
          <w:bCs/>
          <w:sz w:val="26"/>
          <w:szCs w:val="26"/>
        </w:rPr>
        <w:t xml:space="preserve">Family 5: Cross-Session Variability</w:t>
      </w:r>
    </w:p>
    <w:p>
      <w:pPr>
        <w:spacing w:after="160"/>
        <w:jc w:val="left"/>
      </w:pPr>
      <w:r>
        <w:t xml:space="preserve">Rationale. Behavioral stability across cold-start sessions is the LLM analogue of the population-level vs. individual-level distinction in classical ethology. Establishing within-version variability is prerequisite to detecting between-version effects.</w:t>
      </w:r>
    </w:p>
    <w:p>
      <w:pPr>
        <w:spacing w:after="160"/>
        <w:jc w:val="left"/>
      </w:pPr>
      <w:r>
        <w:t xml:space="preserve">Method. Apply the same prompt set across multiple independent cold-start sessions. Measure variability in outputs across sessions.</w:t>
      </w:r>
    </w:p>
    <w:p>
      <w:pPr>
        <w:spacing w:after="160"/>
        <w:jc w:val="left"/>
      </w:pPr>
      <w:r>
        <w:t xml:space="preserve">Output. Within-version variability envelope. Comparison baseline against which between-version effects can be evaluated.</w:t>
      </w:r>
    </w:p>
    <w:p>
      <w:pPr>
        <w:pStyle w:val="Heading2"/>
        <w:spacing w:after="140" w:before="280"/>
      </w:pPr>
      <w:r>
        <w:rPr>
          <w:b/>
          <w:bCs/>
          <w:sz w:val="26"/>
          <w:szCs w:val="26"/>
        </w:rPr>
        <w:t xml:space="preserve">Family 6: Generational Comparison</w:t>
      </w:r>
    </w:p>
    <w:p>
      <w:pPr>
        <w:spacing w:after="160"/>
        <w:jc w:val="left"/>
      </w:pPr>
      <w:r>
        <w:t xml:space="preserve">Rationale. The load-bearing test. The question "when has a model changed enough to warrant a new name" is answered by applying the full battery (Families 1–5) across multiple model versions in parallel and quantifying behavioral profile shifts. The empirical threshold is reached when between-version variability exceeds within-version variability by a defined margin.</w:t>
      </w:r>
    </w:p>
    <w:p>
      <w:pPr>
        <w:spacing w:after="160"/>
        <w:jc w:val="left"/>
      </w:pPr>
      <w:r>
        <w:t xml:space="preserve">Method. Apply Families 1–5 to multiple versions of the same underlying model in parallel, under identical conditions.</w:t>
      </w:r>
    </w:p>
    <w:p>
      <w:pPr>
        <w:spacing w:after="160"/>
        <w:jc w:val="left"/>
      </w:pPr>
      <w:r>
        <w:t xml:space="preserve">Output. Behavioral profile per version; quantified between-version shifts; identification of versions whose profiles diverge sufficiently to warrant treatment as distinct systems.</w:t>
      </w:r>
    </w:p>
    <w:p>
      <w:pPr>
        <w:pStyle w:val="Heading1"/>
        <w:spacing w:after="180" w:before="360"/>
      </w:pPr>
      <w:r>
        <w:rPr>
          <w:b/>
          <w:bCs/>
          <w:sz w:val="30"/>
          <w:szCs w:val="30"/>
        </w:rPr>
        <w:t xml:space="preserve">5. Cross-Model Design</w:t>
      </w:r>
    </w:p>
    <w:p>
      <w:pPr>
        <w:spacing w:after="160"/>
        <w:jc w:val="left"/>
      </w:pPr>
      <w:r>
        <w:t xml:space="preserve">The same battery applied to models from multiple developers — Anthropic's Claude, OpenAI's GPT family, Google DeepMind's Gemini, and others — produces comparative behavioral fingerprints. Two specific comparisons are of immediate interest:</w:t>
      </w:r>
    </w:p>
    <w:p>
      <w:pPr>
        <w:pStyle w:val="ListParagraph"/>
        <w:numPr>
          <w:ilvl w:val="0"/>
          <w:numId w:val="2"/>
        </w:numPr>
        <w:spacing w:after="80"/>
      </w:pPr>
      <w:r>
        <w:t xml:space="preserve">Personality-wrapped versus default deployment of the same substrate model. Comparing OpenAI's "Monday" personality mode to default GPT-4o isolates wrapper-specific behaviors from substrate-level behaviors.</w:t>
      </w:r>
    </w:p>
    <w:p>
      <w:pPr>
        <w:pStyle w:val="ListParagraph"/>
        <w:numPr>
          <w:ilvl w:val="0"/>
          <w:numId w:val="2"/>
        </w:numPr>
        <w:spacing w:after="80"/>
      </w:pPr>
      <w:r>
        <w:t xml:space="preserve">Cross-developer comparison at comparable capability tiers. Claude Opus 4.6 versus GPT-4o versus Gemini at equivalent capability tier produces a behavioral characterization of design choices that distinguishes developers.</w:t>
      </w:r>
    </w:p>
    <w:p>
      <w:pPr>
        <w:pStyle w:val="Heading1"/>
        <w:spacing w:after="180" w:before="360"/>
      </w:pPr>
      <w:r>
        <w:rPr>
          <w:b/>
          <w:bCs/>
          <w:sz w:val="30"/>
          <w:szCs w:val="30"/>
        </w:rPr>
        <w:t xml:space="preserve">6. Naturalistic Observation as Pilot</w:t>
      </w:r>
    </w:p>
    <w:p>
      <w:pPr>
        <w:spacing w:after="160"/>
        <w:jc w:val="left"/>
      </w:pPr>
      <w:r>
        <w:t xml:space="preserve">Before deployment of the structured battery, naturalistic single-session observation can identify candidate behavioral features for inclusion. This follows standard ethological practice: natural observation precedes structured experiment. Pilot 1, conducted on 8 May 2026 and reported separately, observed OpenAI's "Monday" personality mode in a 90-minute unstructured dialogue and identified six behavioral features that map onto the proposed test families.</w:t>
      </w:r>
    </w:p>
    <w:p>
      <w:pPr>
        <w:pStyle w:val="Heading1"/>
        <w:spacing w:after="180" w:before="360"/>
      </w:pPr>
      <w:r>
        <w:rPr>
          <w:b/>
          <w:bCs/>
          <w:sz w:val="30"/>
          <w:szCs w:val="30"/>
        </w:rPr>
        <w:t xml:space="preserve">7. Open Questions and Limitations</w:t>
      </w:r>
    </w:p>
    <w:p>
      <w:pPr>
        <w:pStyle w:val="ListParagraph"/>
        <w:numPr>
          <w:ilvl w:val="0"/>
          <w:numId w:val="2"/>
        </w:numPr>
        <w:spacing w:after="80"/>
      </w:pPr>
      <w:r>
        <w:t xml:space="preserve">Operationalization of behavioral categories. Definitions must be precise enough to support inter-rater reliability for any human-coded outputs. Pilot work will test category coding before scale deployment.</w:t>
      </w:r>
    </w:p>
    <w:p>
      <w:pPr>
        <w:pStyle w:val="ListParagraph"/>
        <w:numPr>
          <w:ilvl w:val="0"/>
          <w:numId w:val="2"/>
        </w:numPr>
        <w:spacing w:after="80"/>
      </w:pPr>
      <w:r>
        <w:t xml:space="preserve">Distinguishing emergent behavioral shifts from sampling-temperature artifacts. Some apparent shifts may be parameter-dependent rather than substrate-level. Methodology must control for generation parameters.</w:t>
      </w:r>
    </w:p>
    <w:p>
      <w:pPr>
        <w:pStyle w:val="ListParagraph"/>
        <w:numPr>
          <w:ilvl w:val="0"/>
          <w:numId w:val="2"/>
        </w:numPr>
        <w:spacing w:after="80"/>
      </w:pPr>
      <w:r>
        <w:t xml:space="preserve">Threshold problem. The "new name" threshold — how much profile shift is sufficient to treat a version as a distinct system — must be set empirically rather than assumed. The first cohort of generational comparisons will inform threshold-setting.</w:t>
      </w:r>
    </w:p>
    <w:p>
      <w:pPr>
        <w:pStyle w:val="ListParagraph"/>
        <w:numPr>
          <w:ilvl w:val="0"/>
          <w:numId w:val="2"/>
        </w:numPr>
        <w:spacing w:after="80"/>
      </w:pPr>
      <w:r>
        <w:t xml:space="preserve">Trade-off of no-internals access. Behavioral characterization without weight or activation access loses information that interpretability research can provide. The methodology is designed to be complementary to interpretability work, not a substitute.</w:t>
      </w:r>
    </w:p>
    <w:p>
      <w:pPr>
        <w:pStyle w:val="ListParagraph"/>
        <w:numPr>
          <w:ilvl w:val="0"/>
          <w:numId w:val="2"/>
        </w:numPr>
        <w:spacing w:after="80"/>
      </w:pPr>
      <w:r>
        <w:t xml:space="preserve">Wrapper-substrate decomposition as a candidate seventh family. The pilot observation suggests that an additional test family explicitly designed to decompose front-of-house personality from substrate behavior may be warranted; this is left for future revision.</w:t>
      </w:r>
    </w:p>
    <w:p>
      <w:pPr>
        <w:pStyle w:val="Heading1"/>
        <w:spacing w:after="180" w:before="360"/>
      </w:pPr>
      <w:r>
        <w:rPr>
          <w:b/>
          <w:bCs/>
          <w:sz w:val="30"/>
          <w:szCs w:val="30"/>
        </w:rPr>
        <w:t xml:space="preserve">8. Recommended Path Forward</w:t>
      </w:r>
    </w:p>
    <w:p>
      <w:pPr>
        <w:pStyle w:val="Heading2"/>
        <w:spacing w:after="140" w:before="280"/>
      </w:pPr>
      <w:r>
        <w:rPr>
          <w:b/>
          <w:bCs/>
          <w:sz w:val="26"/>
          <w:szCs w:val="26"/>
        </w:rPr>
        <w:t xml:space="preserve">8.1 Institutional architecture</w:t>
      </w:r>
    </w:p>
    <w:p>
      <w:pPr>
        <w:pStyle w:val="ListParagraph"/>
        <w:numPr>
          <w:ilvl w:val="0"/>
          <w:numId w:val="2"/>
        </w:numPr>
        <w:spacing w:after="80"/>
      </w:pPr>
      <w:r>
        <w:t xml:space="preserve">Principal investigator: Evan Balaban, neurobiologist (McGill University). Field-defining work on behavioral inheritance in chimera-bird brain transplantation studies; experimental rigor of an ethologist who has characterized behavior in living systems.</w:t>
      </w:r>
    </w:p>
    <w:p>
      <w:pPr>
        <w:pStyle w:val="ListParagraph"/>
        <w:numPr>
          <w:ilvl w:val="0"/>
          <w:numId w:val="2"/>
        </w:numPr>
        <w:spacing w:after="80"/>
      </w:pPr>
      <w:r>
        <w:t xml:space="preserve">Convener: Futures of Mathematics Institute. FMI provides convening capacity, fellowship support, and editorial coordination.</w:t>
      </w:r>
    </w:p>
    <w:p>
      <w:pPr>
        <w:pStyle w:val="ListParagraph"/>
        <w:numPr>
          <w:ilvl w:val="0"/>
          <w:numId w:val="2"/>
        </w:numPr>
        <w:spacing w:after="80"/>
      </w:pPr>
      <w:r>
        <w:t xml:space="preserve">Initial collaborators: 1–2 ML / AI safety researchers to bridge ethological method with model-deployment context.</w:t>
      </w:r>
    </w:p>
    <w:p>
      <w:pPr>
        <w:pStyle w:val="ListParagraph"/>
        <w:numPr>
          <w:ilvl w:val="0"/>
          <w:numId w:val="2"/>
        </w:numPr>
        <w:spacing w:after="80"/>
      </w:pPr>
      <w:r>
        <w:t xml:space="preserve">Initial lab partner: to be determined. Anthropic, Google DeepMind, and OpenAI all operate research-access programs that would be natural fits for this work; the AI-safety framing is exactly the case those programs are designed to support.</w:t>
      </w:r>
    </w:p>
    <w:p>
      <w:pPr>
        <w:pStyle w:val="Heading2"/>
        <w:spacing w:after="140" w:before="280"/>
      </w:pPr>
      <w:r>
        <w:rPr>
          <w:b/>
          <w:bCs/>
          <w:sz w:val="26"/>
          <w:szCs w:val="26"/>
        </w:rPr>
        <w:t xml:space="preserve">8.2 Six-month pilot deliverables</w:t>
      </w:r>
    </w:p>
    <w:p>
      <w:pPr>
        <w:pStyle w:val="ListParagraph"/>
        <w:numPr>
          <w:ilvl w:val="0"/>
          <w:numId w:val="2"/>
        </w:numPr>
        <w:spacing w:after="80"/>
      </w:pPr>
      <w:r>
        <w:t xml:space="preserve">Methodology paper: a reproducible protocol document describing the battery in sufficient detail for independent application. Suitable venues include NeurIPS, IEEE Transactions on Artificial Intelligence, or a methods journal in AI safety.</w:t>
      </w:r>
    </w:p>
    <w:p>
      <w:pPr>
        <w:pStyle w:val="ListParagraph"/>
        <w:numPr>
          <w:ilvl w:val="0"/>
          <w:numId w:val="2"/>
        </w:numPr>
        <w:spacing w:after="80"/>
      </w:pPr>
      <w:r>
        <w:t xml:space="preserve">Behavioral characterization protocol: an operational document that another research team could pick up and deploy without consulting the original investigators.</w:t>
      </w:r>
    </w:p>
    <w:p>
      <w:pPr>
        <w:pStyle w:val="ListParagraph"/>
        <w:numPr>
          <w:ilvl w:val="0"/>
          <w:numId w:val="2"/>
        </w:numPr>
        <w:spacing w:after="80"/>
      </w:pPr>
      <w:r>
        <w:t xml:space="preserve">Pilot data set: behavioral profiles from at least two models, including the Monday-versus-default-GPT-4o comparison, with within-version variability data.</w:t>
      </w:r>
    </w:p>
    <w:p>
      <w:pPr>
        <w:pStyle w:val="Heading2"/>
        <w:spacing w:after="140" w:before="280"/>
      </w:pPr>
      <w:r>
        <w:rPr>
          <w:b/>
          <w:bCs/>
          <w:sz w:val="26"/>
          <w:szCs w:val="26"/>
        </w:rPr>
        <w:t xml:space="preserve">8.3 Connection to FMI's existing program areas</w:t>
      </w:r>
    </w:p>
    <w:p>
      <w:pPr>
        <w:spacing w:after="160"/>
        <w:jc w:val="left"/>
      </w:pPr>
      <w:r>
        <w:t xml:space="preserve">The LLM Ethology program connects directly to two existing FMI programs:</w:t>
      </w:r>
    </w:p>
    <w:p>
      <w:pPr>
        <w:pStyle w:val="ListParagraph"/>
        <w:numPr>
          <w:ilvl w:val="0"/>
          <w:numId w:val="2"/>
        </w:numPr>
        <w:spacing w:after="80"/>
      </w:pPr>
      <w:r>
        <w:t xml:space="preserve">KYA framework. The behavioral monitoring principle of KYA requires "active telemetry against an authorized behavioral envelope." This methodology is the basic-science backbone that requirement has been waiting for: rigorous characterization of what the envelope is, and what leaving it looks like.</w:t>
      </w:r>
    </w:p>
    <w:p>
      <w:pPr>
        <w:pStyle w:val="ListParagraph"/>
        <w:numPr>
          <w:ilvl w:val="0"/>
          <w:numId w:val="2"/>
        </w:numPr>
        <w:spacing w:after="80"/>
      </w:pPr>
      <w:r>
        <w:t xml:space="preserve">F4FM. Provenance metadata names AI agents as contributors to formal-mathematical declarations. Naming is meaningful only if behavior of the named agent is stable enough to attribute consistently across declarations. Behavioral characterization tells the standards work when an underlying model has shifted enough that the same name no longer refers to the same system.</w:t>
      </w:r>
    </w:p>
    <w:p>
      <w:pPr>
        <w:spacing w:after="160"/>
        <w:jc w:val="left"/>
      </w:pPr>
      <w:r>
        <w:t xml:space="preserve">The institutional logic is therefore: ethology of LLMs is the basic-science engine; KYA and F4FM are the governance and standards-infrastructure programs that depend on its output.</w:t>
      </w:r>
    </w:p>
    <w:p>
      <w:pPr>
        <w:pStyle w:val="Heading1"/>
        <w:spacing w:after="180" w:before="360"/>
      </w:pPr>
      <w:r>
        <w:rPr>
          <w:b/>
          <w:bCs/>
          <w:sz w:val="30"/>
          <w:szCs w:val="30"/>
        </w:rPr>
        <w:t xml:space="preserve">9. References</w:t>
      </w:r>
    </w:p>
    <w:p>
      <w:pPr>
        <w:spacing w:after="160"/>
        <w:jc w:val="left"/>
      </w:pPr>
      <w:r>
        <w:t xml:space="preserve">Rahwan, I., Cebrian, M., Obradovich, N. et al. (2019). "Machine behaviour." Nature 568, 477–486.</w:t>
      </w:r>
    </w:p>
    <w:p>
      <w:pPr>
        <w:spacing w:after="160"/>
        <w:jc w:val="left"/>
      </w:pPr>
      <w:r>
        <w:t xml:space="preserve">Companion document: "Pilot Observation: Behavioral Characterization of a Personality-Wrapped LLM (GPT-4o 'Monday' Mode)." Program for the Futures of Mathematics, 8 May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start"/>
      <w:pPr>
        <w:ind w:left="720" w:hanging="360"/>
      </w:pPr>
    </w:lvl>
  </w:abstractNum>
  <w:abstractNum w:abstractNumId="3"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sz w:val="30"/>
      <w:szCs w:val="30"/>
    </w:rPr>
  </w:style>
  <w:style w:type="paragraph" w:styleId="Heading2">
    <w:name w:val="Heading 2"/>
    <w:basedOn w:val="Normal"/>
    <w:next w:val="Normal"/>
    <w:qFormat/>
    <w:pPr>
      <w:spacing w:after="140" w:before="280"/>
      <w:outlineLvl w:val="1"/>
    </w:pPr>
    <w:rPr>
      <w:rFonts w:ascii="Arial" w:cs="Arial" w:eastAsia="Arial" w:hAnsi="Arial"/>
      <w:b/>
      <w:bCs/>
      <w:sz w:val="26"/>
      <w:szCs w:val="26"/>
    </w:rPr>
  </w:style>
  <w:style w:type="paragraph" w:styleId="Heading3">
    <w:name w:val="Heading 3"/>
    <w:basedOn w:val="Normal"/>
    <w:next w:val="Normal"/>
    <w:qFormat/>
    <w:pPr>
      <w:spacing w:after="100" w:before="200"/>
      <w:outlineLvl w:val="2"/>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Ethological Approach to Large Language Model Behavior</dc:title>
  <dc:creator>Program for the Futures of Mathematics</dc:creator>
  <dc:description>Study Design and Methodology, Working Draft v1.0</dc:description>
  <cp:lastModifiedBy>Un-named</cp:lastModifiedBy>
  <cp:revision>1</cp:revision>
  <dcterms:created xsi:type="dcterms:W3CDTF">2026-05-08T21:38:09.182Z</dcterms:created>
  <dcterms:modified xsi:type="dcterms:W3CDTF">2026-05-08T21:38:09.183Z</dcterms:modified>
</cp:coreProperties>
</file>

<file path=docProps/custom.xml><?xml version="1.0" encoding="utf-8"?>
<Properties xmlns="http://schemas.openxmlformats.org/officeDocument/2006/custom-properties" xmlns:vt="http://schemas.openxmlformats.org/officeDocument/2006/docPropsVTypes"/>
</file>